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D4A" w:rsidRDefault="00AC3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342D4A" w:rsidRDefault="00AC3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Закона Новосибирской области «Об отдельных вопросах развития креативных (творческих) индустрий в Новосибирской области» </w:t>
      </w:r>
    </w:p>
    <w:p w:rsidR="00342D4A" w:rsidRDefault="00342D4A">
      <w:pPr>
        <w:jc w:val="center"/>
        <w:rPr>
          <w:sz w:val="28"/>
          <w:szCs w:val="28"/>
        </w:rPr>
      </w:pPr>
    </w:p>
    <w:p w:rsidR="00342D4A" w:rsidRDefault="00AC3855">
      <w:pPr>
        <w:ind w:right="-1"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Финансовое обеспечение проекта Закона </w:t>
      </w:r>
      <w:r>
        <w:rPr>
          <w:sz w:val="28"/>
          <w:szCs w:val="28"/>
        </w:rPr>
        <w:t>Новосибирской области «Об отдельных вопросах развития креативных (творческих) индустрий в Новосибирской области» (далее – проект Закона) планируется осуществлять в пределах объемов бюджетных ассигнований, предусмотренных для областных исполнительных органо</w:t>
      </w:r>
      <w:r>
        <w:rPr>
          <w:sz w:val="28"/>
          <w:szCs w:val="28"/>
        </w:rPr>
        <w:t>в Новосибирской области при формировании проекта Закона Новосибирской области «Об областном бюджете Новосибирской области на 2026 год и плановый период 2027 и 2028 годов»:</w:t>
      </w:r>
    </w:p>
    <w:p w:rsidR="00342D4A" w:rsidRDefault="00AC3855">
      <w:pPr>
        <w:ind w:right="-1" w:firstLine="74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 министерства экономического развития Новосибирской области (далее – Министерство)</w:t>
      </w:r>
      <w:r>
        <w:rPr>
          <w:rFonts w:eastAsia="Calibri"/>
          <w:sz w:val="28"/>
          <w:szCs w:val="28"/>
          <w:lang w:eastAsia="en-US"/>
        </w:rPr>
        <w:t xml:space="preserve"> в рамках мероприятия «Обеспечение развития туристического потенциала Новосибирской области на региональных и мировых площадках» государственной программы Новосибирской области «Развитие туризма в Новосибирской области», утвержденной постановлением Правите</w:t>
      </w:r>
      <w:r>
        <w:rPr>
          <w:rFonts w:eastAsia="Calibri"/>
          <w:sz w:val="28"/>
          <w:szCs w:val="28"/>
          <w:lang w:eastAsia="en-US"/>
        </w:rPr>
        <w:t>льства Новосибирской области от 30.12.2021 № 576-п (КБК 123 04.12 29.3.02.05170);</w:t>
      </w:r>
    </w:p>
    <w:p w:rsidR="00342D4A" w:rsidRDefault="00AC3855">
      <w:pPr>
        <w:ind w:right="-1" w:firstLine="74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до министерства культуры Новосибирской области </w:t>
      </w:r>
      <w:r>
        <w:rPr>
          <w:rFonts w:eastAsia="Calibri"/>
          <w:sz w:val="28"/>
          <w:szCs w:val="28"/>
          <w:lang w:eastAsia="en-US"/>
        </w:rPr>
        <w:t xml:space="preserve">на поддержку творческих проектов в сфере культуры комплекса процессных мероприятий «Поддержка деятельности организаций в сфере </w:t>
      </w:r>
      <w:r>
        <w:rPr>
          <w:rFonts w:eastAsia="Calibri"/>
          <w:sz w:val="28"/>
          <w:szCs w:val="28"/>
          <w:lang w:eastAsia="en-US"/>
        </w:rPr>
        <w:t>культуры» государственной программы Новосибирской области «Культура Новосибирской области» (КБК 131 08.01 11.3.02.04780).</w:t>
      </w:r>
    </w:p>
    <w:p w:rsidR="00342D4A" w:rsidRDefault="00AC3855">
      <w:pPr>
        <w:ind w:right="-1" w:firstLine="74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Государственную поддержку субъектов креативных (творческих) индустрий в сфере средств массовой информации будет осуществлять управлени</w:t>
      </w:r>
      <w:r>
        <w:rPr>
          <w:rFonts w:eastAsia="Calibri"/>
          <w:sz w:val="28"/>
          <w:szCs w:val="28"/>
          <w:lang w:eastAsia="en-US"/>
        </w:rPr>
        <w:t>е информационных проектов Новосибирской области путем предоставления субсидий и грантов в форме субсидий на конкурсной основе с 2026 года за счет перераспределения бюджетных ассигнований, предусмотренных Законом Новосибирской области от 20.12.2024 № 546-ОЗ</w:t>
      </w:r>
      <w:r>
        <w:rPr>
          <w:rFonts w:eastAsia="Calibri"/>
          <w:sz w:val="28"/>
          <w:szCs w:val="28"/>
          <w:lang w:eastAsia="en-US"/>
        </w:rPr>
        <w:t xml:space="preserve"> «Об областном бюджете Новосибирской области на 2025 год и плановый период 2026 и 2027 годов» в рамках КБК 143 12.04 99.0.00.98704 в объеме 44 000,00 тыс. рублей ежегодно.</w:t>
      </w:r>
    </w:p>
    <w:p w:rsidR="00342D4A" w:rsidRDefault="00AC38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Кроме того, с учетом включения Федеральным законом от 08.08.2024 № 330-ФЗ «О развити</w:t>
      </w:r>
      <w:r>
        <w:rPr>
          <w:rFonts w:eastAsia="Calibri"/>
          <w:sz w:val="28"/>
          <w:szCs w:val="28"/>
          <w:lang w:eastAsia="en-US"/>
        </w:rPr>
        <w:t>и креативных (творческих) индустрий в Российской Федерации» сферы средств массовой информации в перечень креативных индустрий реализация законопроекта планируется в рамках обеспечения реализации Федерального закона от 09.02.2009 № 8-ФЗ «Об обеспечении дост</w:t>
      </w:r>
      <w:r>
        <w:rPr>
          <w:rFonts w:eastAsia="Calibri"/>
          <w:sz w:val="28"/>
          <w:szCs w:val="28"/>
          <w:lang w:eastAsia="en-US"/>
        </w:rPr>
        <w:t>упа к информации о деятельности государственных органов и органов местного самоуправления», а также информационной поддержки приоритетных направлений реализации плана социально-экономического развития Новосибирской области, и соответственно информационного</w:t>
      </w:r>
      <w:r>
        <w:rPr>
          <w:rFonts w:eastAsia="Calibri"/>
          <w:sz w:val="28"/>
          <w:szCs w:val="28"/>
          <w:lang w:eastAsia="en-US"/>
        </w:rPr>
        <w:t xml:space="preserve"> освещения мероприятий, проводимых областными исполнительными органами Новосибирской области в рамках полномочий Новосибирской области в соответствии с частью 4 статьи 4 Закона Новосибирской области от 18.12.2015 № 24-ОЗ «О планировании социально-экономиче</w:t>
      </w:r>
      <w:r>
        <w:rPr>
          <w:rFonts w:eastAsia="Calibri"/>
          <w:sz w:val="28"/>
          <w:szCs w:val="28"/>
          <w:lang w:eastAsia="en-US"/>
        </w:rPr>
        <w:t>ского развития Новосибирской области».</w:t>
      </w:r>
    </w:p>
    <w:p w:rsidR="00342D4A" w:rsidRDefault="00AC38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highlight w:val="white"/>
          <w:lang w:eastAsia="en-US"/>
        </w:rPr>
        <w:lastRenderedPageBreak/>
        <w:t xml:space="preserve">Иные областные исполнительные органы, </w:t>
      </w:r>
      <w:r>
        <w:rPr>
          <w:rFonts w:eastAsia="Calibri"/>
          <w:sz w:val="28"/>
          <w:szCs w:val="28"/>
          <w:highlight w:val="white"/>
        </w:rPr>
        <w:t xml:space="preserve">ответственные за содействие развитию креативных (творческих) индустрий в Новосибирской области, ресурсное и финансовое обеспечение осуществляют путем декомпозиции целей и задач в </w:t>
      </w:r>
      <w:r>
        <w:rPr>
          <w:rFonts w:eastAsia="Calibri"/>
          <w:sz w:val="28"/>
          <w:szCs w:val="28"/>
          <w:highlight w:val="white"/>
        </w:rPr>
        <w:t>курируемых ими государственных программах.</w:t>
      </w:r>
    </w:p>
    <w:p w:rsidR="00342D4A" w:rsidRDefault="00AC3855"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Вопрос </w:t>
      </w:r>
      <w:r>
        <w:rPr>
          <w:sz w:val="28"/>
          <w:szCs w:val="28"/>
          <w:highlight w:val="white"/>
        </w:rPr>
        <w:t>внедрения образовательных программ среднего профессионального, высшего образования и дополнительного профессионального образования в сфере креативных (творческих) индустрий внесен в план работы совета по ра</w:t>
      </w:r>
      <w:r>
        <w:rPr>
          <w:sz w:val="28"/>
          <w:szCs w:val="28"/>
          <w:highlight w:val="white"/>
        </w:rPr>
        <w:t>звитию профессионального образования и поддержке системы профессиональных квалификаций при Губернаторе Новосибирской области, состав которого утвержден постановлением Губернатора Новосибирской области от 14.09.2011 № 234 «О совете по развитию профессиональ</w:t>
      </w:r>
      <w:r>
        <w:rPr>
          <w:sz w:val="28"/>
          <w:szCs w:val="28"/>
          <w:highlight w:val="white"/>
        </w:rPr>
        <w:t>ного образования и поддержке системы профессиональных квалификаций при Губернаторе Новосибирской области»</w:t>
      </w:r>
      <w:r w:rsidR="00E565FF" w:rsidRPr="00E565FF">
        <w:rPr>
          <w:sz w:val="28"/>
          <w:szCs w:val="28"/>
          <w:highlight w:val="white"/>
        </w:rPr>
        <w:t xml:space="preserve"> (</w:t>
      </w:r>
      <w:r w:rsidR="00E565FF">
        <w:rPr>
          <w:sz w:val="28"/>
          <w:szCs w:val="28"/>
          <w:highlight w:val="white"/>
        </w:rPr>
        <w:t>письмо от 20.01.2026 № 154-11/8-Вн)</w:t>
      </w:r>
      <w:r>
        <w:rPr>
          <w:sz w:val="28"/>
          <w:szCs w:val="28"/>
          <w:highlight w:val="white"/>
        </w:rPr>
        <w:t>.</w:t>
      </w:r>
    </w:p>
    <w:p w:rsidR="00342D4A" w:rsidRDefault="00AC3855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Реализация подпункта 1 пункта 1 статьи 6 Законопроекта будет осуществляться министерством образования Новосибирской област</w:t>
      </w:r>
      <w:r>
        <w:rPr>
          <w:sz w:val="28"/>
          <w:szCs w:val="28"/>
          <w:highlight w:val="white"/>
        </w:rPr>
        <w:t>и и министерством культуры Новосибирской области и их подведомственными учреждениями в пределах общего объема лимитов бюджетных обязательств, доведенных до указанных главных распорядителей бюджетных средств, и бюджетных ассигнований утвержденных данным орг</w:t>
      </w:r>
      <w:r>
        <w:rPr>
          <w:sz w:val="28"/>
          <w:szCs w:val="28"/>
          <w:highlight w:val="white"/>
        </w:rPr>
        <w:t>анам власти законом Новосибирской области от 19.12.2025 № 37-ОЗ «Об областном бюджете Новосибирской области на 2026 год и плановый период 2027 и 2028 годов».</w:t>
      </w:r>
    </w:p>
    <w:p w:rsidR="00342D4A" w:rsidRDefault="00AC3855"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>Дополнительно сообщаем, что вопрос дополнительной нагрузки на сотрудников Министерства и последующ</w:t>
      </w:r>
      <w:r>
        <w:rPr>
          <w:rFonts w:eastAsia="Calibri"/>
          <w:sz w:val="28"/>
          <w:szCs w:val="28"/>
          <w:highlight w:val="white"/>
          <w:lang w:eastAsia="en-US"/>
        </w:rPr>
        <w:t>ее увеличение штатной численности при реализации полномочий по развитию креативных (творческих) индустрий в Новосибирской области проработан, вопрос увеличения штатной численности министерства рассмотрен на заседании комиссии по вопросам государственного у</w:t>
      </w:r>
      <w:r>
        <w:rPr>
          <w:rFonts w:eastAsia="Calibri"/>
          <w:sz w:val="28"/>
          <w:szCs w:val="28"/>
          <w:highlight w:val="white"/>
          <w:lang w:eastAsia="en-US"/>
        </w:rPr>
        <w:t>правления в Новосибирской области под руководством первого заместителя Губернатора Новосибирской области Петухова Ю.Ф. (протокол от 30.10.2025 № 45</w:t>
      </w:r>
      <w:r>
        <w:rPr>
          <w:sz w:val="28"/>
          <w:szCs w:val="28"/>
          <w:highlight w:val="white"/>
        </w:rPr>
        <w:t>). По итогам заседания комиссии принято решение о перераспределении полномочий структурных подразделений Мини</w:t>
      </w:r>
      <w:r>
        <w:rPr>
          <w:sz w:val="28"/>
          <w:szCs w:val="28"/>
          <w:highlight w:val="white"/>
        </w:rPr>
        <w:t xml:space="preserve">стерства (в том числе добавление функциональных обязанностей </w:t>
      </w:r>
      <w:r>
        <w:rPr>
          <w:rFonts w:eastAsia="Calibri"/>
          <w:sz w:val="28"/>
          <w:szCs w:val="28"/>
          <w:highlight w:val="white"/>
          <w:lang w:eastAsia="en-US"/>
        </w:rPr>
        <w:t>в части развития креативных (творческих) индустрий в Новосибирской области в отдел маркетинга региона, внешнеэкономической деятельности) и увеличение предельной штатной численности министерства н</w:t>
      </w:r>
      <w:r>
        <w:rPr>
          <w:rFonts w:eastAsia="Calibri"/>
          <w:sz w:val="28"/>
          <w:szCs w:val="28"/>
          <w:highlight w:val="white"/>
          <w:lang w:eastAsia="en-US"/>
        </w:rPr>
        <w:t>а 4 штатные единицы.</w:t>
      </w:r>
      <w:r>
        <w:rPr>
          <w:rFonts w:eastAsia="Calibri"/>
          <w:sz w:val="28"/>
          <w:szCs w:val="28"/>
          <w:highlight w:val="white"/>
        </w:rPr>
        <w:t xml:space="preserve"> Увеличение штатной численности областных исполнительных органов Новосибирской области, ответственных за содействие развитию креативных (творческих) индустрий в Новосибирской области, не планируется. </w:t>
      </w:r>
    </w:p>
    <w:p w:rsidR="00342D4A" w:rsidRDefault="00AC38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Принятие проекта Закона не потребуе</w:t>
      </w:r>
      <w:r>
        <w:rPr>
          <w:sz w:val="28"/>
          <w:szCs w:val="28"/>
        </w:rPr>
        <w:t xml:space="preserve">т выделения дополнительных средств из областного бюджета Новосибирской области. </w:t>
      </w:r>
    </w:p>
    <w:p w:rsidR="00342D4A" w:rsidRDefault="00342D4A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42D4A" w:rsidRDefault="00342D4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sectPr w:rsidR="00342D4A">
      <w:headerReference w:type="default" r:id="rId7"/>
      <w:footerReference w:type="even" r:id="rId8"/>
      <w:foot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855" w:rsidRDefault="00AC3855">
      <w:r>
        <w:separator/>
      </w:r>
    </w:p>
  </w:endnote>
  <w:endnote w:type="continuationSeparator" w:id="0">
    <w:p w:rsidR="00AC3855" w:rsidRDefault="00AC3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D4A" w:rsidRDefault="00AC3855">
    <w:pPr>
      <w:pStyle w:val="ad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342D4A" w:rsidRDefault="00342D4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D4A" w:rsidRDefault="00342D4A">
    <w:pPr>
      <w:pStyle w:val="ad"/>
      <w:framePr w:wrap="around" w:vAnchor="text" w:hAnchor="margin" w:xAlign="center" w:y="1"/>
      <w:rPr>
        <w:rStyle w:val="afb"/>
      </w:rPr>
    </w:pPr>
  </w:p>
  <w:p w:rsidR="00342D4A" w:rsidRDefault="00342D4A">
    <w:pPr>
      <w:pStyle w:val="ad"/>
      <w:tabs>
        <w:tab w:val="clear" w:pos="4677"/>
        <w:tab w:val="clear" w:pos="9355"/>
        <w:tab w:val="left" w:pos="170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855" w:rsidRDefault="00AC3855">
      <w:r>
        <w:separator/>
      </w:r>
    </w:p>
  </w:footnote>
  <w:footnote w:type="continuationSeparator" w:id="0">
    <w:p w:rsidR="00AC3855" w:rsidRDefault="00AC3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D4A" w:rsidRDefault="00AC3855">
    <w:pPr>
      <w:pStyle w:val="ab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E565F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:rsidR="00342D4A" w:rsidRDefault="00342D4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11A18"/>
    <w:multiLevelType w:val="hybridMultilevel"/>
    <w:tmpl w:val="A188823E"/>
    <w:lvl w:ilvl="0" w:tplc="E9B688A8">
      <w:start w:val="5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/>
      </w:rPr>
    </w:lvl>
    <w:lvl w:ilvl="1" w:tplc="14F2EFD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30F6D56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8B04C21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4B6E41A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28A00B6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E09659A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1A4630D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770C84D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4E7C2945"/>
    <w:multiLevelType w:val="hybridMultilevel"/>
    <w:tmpl w:val="113EFC28"/>
    <w:lvl w:ilvl="0" w:tplc="2E88821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A0A0A"/>
        <w:sz w:val="24"/>
      </w:rPr>
    </w:lvl>
    <w:lvl w:ilvl="1" w:tplc="DA26783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A0A0A"/>
        <w:sz w:val="24"/>
      </w:rPr>
    </w:lvl>
    <w:lvl w:ilvl="2" w:tplc="6FA457D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A0A0A"/>
        <w:sz w:val="24"/>
      </w:rPr>
    </w:lvl>
    <w:lvl w:ilvl="3" w:tplc="D452FC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A0A0A"/>
        <w:sz w:val="24"/>
      </w:rPr>
    </w:lvl>
    <w:lvl w:ilvl="4" w:tplc="2D84A7B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A0A0A"/>
        <w:sz w:val="24"/>
      </w:rPr>
    </w:lvl>
    <w:lvl w:ilvl="5" w:tplc="A05EC88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A0A0A"/>
        <w:sz w:val="24"/>
      </w:rPr>
    </w:lvl>
    <w:lvl w:ilvl="6" w:tplc="D8027F3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A0A0A"/>
        <w:sz w:val="24"/>
      </w:rPr>
    </w:lvl>
    <w:lvl w:ilvl="7" w:tplc="63C60BF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A0A0A"/>
        <w:sz w:val="24"/>
      </w:rPr>
    </w:lvl>
    <w:lvl w:ilvl="8" w:tplc="AE14B6C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A0A0A"/>
        <w:sz w:val="24"/>
      </w:rPr>
    </w:lvl>
  </w:abstractNum>
  <w:abstractNum w:abstractNumId="2" w15:restartNumberingAfterBreak="0">
    <w:nsid w:val="54297860"/>
    <w:multiLevelType w:val="hybridMultilevel"/>
    <w:tmpl w:val="80A4751C"/>
    <w:lvl w:ilvl="0" w:tplc="1242E7CE">
      <w:start w:val="1"/>
      <w:numFmt w:val="decimal"/>
      <w:lvlText w:val="%1)"/>
      <w:lvlJc w:val="left"/>
      <w:pPr>
        <w:tabs>
          <w:tab w:val="num" w:pos="1083"/>
        </w:tabs>
        <w:ind w:left="1083" w:hanging="375"/>
      </w:pPr>
    </w:lvl>
    <w:lvl w:ilvl="1" w:tplc="579C6A5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7C5AED1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1E4F1F4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C104668C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8B7EE19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D0AF98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1B8BD60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CFAED92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4A"/>
    <w:rsid w:val="00342D4A"/>
    <w:rsid w:val="00AC3855"/>
    <w:rsid w:val="00E5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3DA2"/>
  <w15:docId w15:val="{533BBA9C-C6BA-4E9C-B987-A9AA5493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ind w:left="1348" w:right="639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497"/>
      </w:tabs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08"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20"/>
      <w:jc w:val="both"/>
    </w:pPr>
    <w:rPr>
      <w:sz w:val="28"/>
      <w:szCs w:val="20"/>
    </w:rPr>
  </w:style>
  <w:style w:type="paragraph" w:styleId="33">
    <w:name w:val="Body Text 3"/>
    <w:basedOn w:val="a"/>
    <w:pPr>
      <w:jc w:val="both"/>
    </w:pPr>
    <w:rPr>
      <w:szCs w:val="20"/>
    </w:r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styleId="26">
    <w:name w:val="Body Text 2"/>
    <w:basedOn w:val="a"/>
    <w:pPr>
      <w:spacing w:after="120" w:line="480" w:lineRule="auto"/>
    </w:pPr>
  </w:style>
  <w:style w:type="character" w:styleId="afb">
    <w:name w:val="page number"/>
    <w:basedOn w:val="a0"/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808</Words>
  <Characters>4611</Characters>
  <Application>Microsoft Office Word</Application>
  <DocSecurity>0</DocSecurity>
  <Lines>38</Lines>
  <Paragraphs>10</Paragraphs>
  <ScaleCrop>false</ScaleCrop>
  <Company>HOOM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TADI</dc:creator>
  <cp:lastModifiedBy>Андреева Валентина Ивановна</cp:lastModifiedBy>
  <cp:revision>4</cp:revision>
  <dcterms:created xsi:type="dcterms:W3CDTF">2026-02-04T04:12:00Z</dcterms:created>
  <dcterms:modified xsi:type="dcterms:W3CDTF">2026-02-05T10:08:00Z</dcterms:modified>
  <cp:version>983040</cp:version>
</cp:coreProperties>
</file>